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2D" w:rsidRPr="00DE5CD9" w:rsidRDefault="00DE5CD9">
      <w:pPr>
        <w:rPr>
          <w:rFonts w:cstheme="minorHAnsi"/>
          <w:b/>
          <w:i/>
          <w:iCs/>
        </w:rPr>
      </w:pPr>
      <w:r w:rsidRPr="00DE5CD9">
        <w:rPr>
          <w:rFonts w:cstheme="minorHAnsi"/>
          <w:b/>
          <w:i/>
          <w:iCs/>
        </w:rPr>
        <w:t>Arrêté du 4 août 2025 (Bulletin officiel n°32 du 28 août 2025) ; Fiches RNCP 35526 et 40999 (France Compétences) ; Directives européennes (CSRD, RGPD).</w:t>
      </w:r>
    </w:p>
    <w:p w:rsidR="00DE5CD9" w:rsidRPr="00DE5CD9" w:rsidRDefault="00DE5CD9">
      <w:pPr>
        <w:rPr>
          <w:rFonts w:cstheme="minorHAnsi"/>
          <w:i/>
          <w:iCs/>
        </w:rPr>
      </w:pPr>
    </w:p>
    <w:p w:rsidR="00DE5CD9" w:rsidRPr="00DE5CD9" w:rsidRDefault="00DE5CD9" w:rsidP="00DE5CD9">
      <w:pPr>
        <w:rPr>
          <w:rFonts w:cstheme="minorHAnsi"/>
          <w:b/>
          <w:bCs/>
        </w:rPr>
      </w:pPr>
      <w:r w:rsidRPr="00DE5CD9">
        <w:rPr>
          <w:rFonts w:cstheme="minorHAnsi"/>
          <w:b/>
          <w:bCs/>
        </w:rPr>
        <w:t>Visualisation rapide par UE</w:t>
      </w:r>
    </w:p>
    <w:p w:rsidR="00DE5CD9" w:rsidRPr="00DE5CD9" w:rsidRDefault="00DE5CD9" w:rsidP="00DE5CD9">
      <w:pPr>
        <w:rPr>
          <w:rFonts w:cstheme="minorHAnsi"/>
        </w:rPr>
      </w:pPr>
      <w:r w:rsidRPr="00DE5CD9">
        <w:rPr>
          <w:rFonts w:cstheme="minorHAnsi"/>
        </w:rPr>
        <w:t>Pour visualiser ces évolutions, un tableau comparatif des UE avant et après la réforme :</w:t>
      </w:r>
    </w:p>
    <w:p w:rsidR="00DE5CD9" w:rsidRPr="00DE5CD9" w:rsidRDefault="00DE5CD9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0"/>
        <w:gridCol w:w="3180"/>
        <w:gridCol w:w="2180"/>
        <w:gridCol w:w="8036"/>
      </w:tblGrid>
      <w:tr w:rsidR="00DE5CD9" w:rsidRPr="00DE5CD9" w:rsidTr="00DE5CD9">
        <w:trPr>
          <w:trHeight w:val="643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  <w:b/>
                <w:bCs/>
              </w:rPr>
            </w:pPr>
            <w:bookmarkStart w:id="0" w:name="RANGE!A1:D14"/>
            <w:r w:rsidRPr="00DE5CD9">
              <w:rPr>
                <w:rFonts w:cstheme="minorHAnsi"/>
                <w:b/>
                <w:bCs/>
              </w:rPr>
              <w:t>UE</w:t>
            </w:r>
            <w:bookmarkEnd w:id="0"/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  <w:b/>
                <w:bCs/>
              </w:rPr>
            </w:pPr>
            <w:r w:rsidRPr="00DE5CD9">
              <w:rPr>
                <w:rFonts w:cstheme="minorHAnsi"/>
                <w:b/>
                <w:bCs/>
              </w:rPr>
              <w:t>Ancien Titre (RNCP35526)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  <w:b/>
                <w:bCs/>
              </w:rPr>
            </w:pPr>
            <w:r w:rsidRPr="00DE5CD9">
              <w:rPr>
                <w:rFonts w:cstheme="minorHAnsi"/>
                <w:b/>
                <w:bCs/>
              </w:rPr>
              <w:t>Nouveau Titre (RNCP40999)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  <w:b/>
                <w:bCs/>
              </w:rPr>
            </w:pPr>
            <w:r w:rsidRPr="00DE5CD9">
              <w:rPr>
                <w:rFonts w:cstheme="minorHAnsi"/>
                <w:b/>
                <w:bCs/>
              </w:rPr>
              <w:t>Évolutions Clés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UE1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Fondamentaux du droit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Fondamentaux du droit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Renforcement de l’analyse des actes juridiques, capacité et patrimoine.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UE2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Droit des sociétés et des groupements d’affaires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Droit des affaires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Suppression de notions obsolètes (GIE, SCA), focus sur formes adaptées et difficultés financières.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UE3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Droit social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Droit social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Intégration de la protection sociale renforcée, sans distinction individuel/collectif.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UE4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Droit fiscal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Droit fiscal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Ajout de fiscalité internationale, agenda fiscal, suppression régimes simplifiés.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UE5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Économie contemporaine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Économie contemporaine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Enjeux de croissance et déséquilibres sociaux, incidences politiques publiques.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UE6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Finance d’entreprise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Finance d’entreprise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Intégration ESG, finance verte, analyse de risques et soutenabilité de la dette.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UE7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Management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Management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Diagnostic stratégique, chaîne de valeur, résolution de conflits.</w:t>
            </w:r>
          </w:p>
        </w:tc>
      </w:tr>
    </w:tbl>
    <w:p w:rsidR="00DE5CD9" w:rsidRPr="00DE5CD9" w:rsidRDefault="00DE5CD9">
      <w:pPr>
        <w:rPr>
          <w:rFonts w:cstheme="minorHAnsi"/>
        </w:rPr>
      </w:pPr>
      <w:r w:rsidRPr="00DE5CD9">
        <w:rPr>
          <w:rFonts w:cstheme="minorHAnsi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0"/>
        <w:gridCol w:w="3180"/>
        <w:gridCol w:w="2180"/>
        <w:gridCol w:w="8036"/>
      </w:tblGrid>
      <w:tr w:rsidR="00DE5CD9" w:rsidRPr="00DE5CD9" w:rsidTr="00DE5CD9">
        <w:trPr>
          <w:trHeight w:val="643"/>
        </w:trPr>
        <w:tc>
          <w:tcPr>
            <w:tcW w:w="1200" w:type="dxa"/>
            <w:hideMark/>
          </w:tcPr>
          <w:p w:rsidR="00DE5CD9" w:rsidRPr="00DE5CD9" w:rsidRDefault="00DE5CD9" w:rsidP="00C47CDE">
            <w:pPr>
              <w:rPr>
                <w:rFonts w:cstheme="minorHAnsi"/>
                <w:b/>
                <w:bCs/>
              </w:rPr>
            </w:pPr>
            <w:r w:rsidRPr="00DE5CD9">
              <w:rPr>
                <w:rFonts w:cstheme="minorHAnsi"/>
                <w:b/>
                <w:bCs/>
              </w:rPr>
              <w:lastRenderedPageBreak/>
              <w:t>UE</w:t>
            </w:r>
          </w:p>
        </w:tc>
        <w:tc>
          <w:tcPr>
            <w:tcW w:w="3180" w:type="dxa"/>
            <w:hideMark/>
          </w:tcPr>
          <w:p w:rsidR="00DE5CD9" w:rsidRPr="00DE5CD9" w:rsidRDefault="00DE5CD9" w:rsidP="00C47CDE">
            <w:pPr>
              <w:rPr>
                <w:rFonts w:cstheme="minorHAnsi"/>
                <w:b/>
                <w:bCs/>
              </w:rPr>
            </w:pPr>
            <w:r w:rsidRPr="00DE5CD9">
              <w:rPr>
                <w:rFonts w:cstheme="minorHAnsi"/>
                <w:b/>
                <w:bCs/>
              </w:rPr>
              <w:t>Ancien Titre (RNCP35526)</w:t>
            </w:r>
          </w:p>
        </w:tc>
        <w:tc>
          <w:tcPr>
            <w:tcW w:w="2180" w:type="dxa"/>
            <w:hideMark/>
          </w:tcPr>
          <w:p w:rsidR="00DE5CD9" w:rsidRPr="00DE5CD9" w:rsidRDefault="00DE5CD9" w:rsidP="00C47CDE">
            <w:pPr>
              <w:rPr>
                <w:rFonts w:cstheme="minorHAnsi"/>
                <w:b/>
                <w:bCs/>
              </w:rPr>
            </w:pPr>
            <w:r w:rsidRPr="00DE5CD9">
              <w:rPr>
                <w:rFonts w:cstheme="minorHAnsi"/>
                <w:b/>
                <w:bCs/>
              </w:rPr>
              <w:t>Nouveau Titre (RNCP40999)</w:t>
            </w:r>
          </w:p>
        </w:tc>
        <w:tc>
          <w:tcPr>
            <w:tcW w:w="8036" w:type="dxa"/>
            <w:hideMark/>
          </w:tcPr>
          <w:p w:rsidR="00DE5CD9" w:rsidRPr="00DE5CD9" w:rsidRDefault="00DE5CD9" w:rsidP="00C47CDE">
            <w:pPr>
              <w:rPr>
                <w:rFonts w:cstheme="minorHAnsi"/>
                <w:b/>
                <w:bCs/>
              </w:rPr>
            </w:pPr>
            <w:r w:rsidRPr="00DE5CD9">
              <w:rPr>
                <w:rFonts w:cstheme="minorHAnsi"/>
                <w:b/>
                <w:bCs/>
              </w:rPr>
              <w:t>Évolutions Clés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UE8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Systèmes d’information de gestion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Systèmes d’information de gestion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proofErr w:type="spellStart"/>
            <w:r w:rsidRPr="00DE5CD9">
              <w:rPr>
                <w:rFonts w:cstheme="minorHAnsi"/>
              </w:rPr>
              <w:t>Cybersécurité</w:t>
            </w:r>
            <w:proofErr w:type="spellEnd"/>
            <w:r w:rsidRPr="00DE5CD9">
              <w:rPr>
                <w:rFonts w:cstheme="minorHAnsi"/>
              </w:rPr>
              <w:t>, IA, Green IT, schémas relationnels, automatisation tableurs.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UE9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Comptabilité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Comptabilité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Opérations courantes, dématérialisation, impacts numérisation.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UE10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Comptabilité approfondie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Comptabilité approfondie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Comptabilisation actifs/passifs, recentrage français, associations.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UE11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Contrôle de gestion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Contrôle de gestion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Modèles de coûts, budgets, tableaux de bord, gestion de la qualité.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UE12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Anglais des affaires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Anglais des affaires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Spécialisation exclusive, analyse et rédaction en anglais/français.</w:t>
            </w:r>
          </w:p>
        </w:tc>
      </w:tr>
      <w:tr w:rsidR="00DE5CD9" w:rsidRPr="00DE5CD9" w:rsidTr="00DE5CD9">
        <w:trPr>
          <w:trHeight w:val="930"/>
        </w:trPr>
        <w:tc>
          <w:tcPr>
            <w:tcW w:w="120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UE13</w:t>
            </w:r>
          </w:p>
        </w:tc>
        <w:tc>
          <w:tcPr>
            <w:tcW w:w="3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Relations professionnelles</w:t>
            </w:r>
          </w:p>
        </w:tc>
        <w:tc>
          <w:tcPr>
            <w:tcW w:w="2180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Communication professionnelle</w:t>
            </w:r>
          </w:p>
        </w:tc>
        <w:tc>
          <w:tcPr>
            <w:tcW w:w="8036" w:type="dxa"/>
            <w:vAlign w:val="center"/>
            <w:hideMark/>
          </w:tcPr>
          <w:p w:rsidR="00DE5CD9" w:rsidRPr="00DE5CD9" w:rsidRDefault="00DE5CD9">
            <w:pPr>
              <w:rPr>
                <w:rFonts w:cstheme="minorHAnsi"/>
              </w:rPr>
            </w:pPr>
            <w:r w:rsidRPr="00DE5CD9">
              <w:rPr>
                <w:rFonts w:cstheme="minorHAnsi"/>
              </w:rPr>
              <w:t>Stage obligatoire, soutenance, auto-évaluation, projets concrets.</w:t>
            </w:r>
          </w:p>
        </w:tc>
      </w:tr>
    </w:tbl>
    <w:p w:rsidR="00DE5CD9" w:rsidRPr="00DE5CD9" w:rsidRDefault="00DE5CD9" w:rsidP="00DE5CD9">
      <w:pPr>
        <w:rPr>
          <w:rFonts w:cstheme="minorHAnsi"/>
        </w:rPr>
      </w:pPr>
      <w:r w:rsidRPr="00DE5CD9">
        <w:rPr>
          <w:rFonts w:cstheme="minorHAnsi"/>
        </w:rPr>
        <w:t>(Note : L’UE14 facultative « Langue vivante étrangère » reste inchangée.)</w:t>
      </w:r>
    </w:p>
    <w:p w:rsidR="00DE5CD9" w:rsidRPr="00DE5CD9" w:rsidRDefault="00DE5CD9">
      <w:pPr>
        <w:rPr>
          <w:rFonts w:cstheme="minorHAnsi"/>
        </w:rPr>
      </w:pPr>
    </w:p>
    <w:p w:rsidR="00DE5CD9" w:rsidRPr="00DE5CD9" w:rsidRDefault="00DE5CD9">
      <w:pPr>
        <w:rPr>
          <w:rFonts w:cstheme="minorHAnsi"/>
        </w:rPr>
      </w:pPr>
    </w:p>
    <w:p w:rsidR="00DE5CD9" w:rsidRPr="00DE5CD9" w:rsidRDefault="00DE5CD9">
      <w:pPr>
        <w:rPr>
          <w:rFonts w:cstheme="minorHAnsi"/>
        </w:rPr>
      </w:pPr>
      <w:bookmarkStart w:id="1" w:name="_GoBack"/>
      <w:bookmarkEnd w:id="1"/>
    </w:p>
    <w:p w:rsidR="00DE5CD9" w:rsidRPr="00DE5CD9" w:rsidRDefault="00DE5CD9">
      <w:pPr>
        <w:rPr>
          <w:rFonts w:cstheme="minorHAnsi"/>
        </w:rPr>
      </w:pPr>
    </w:p>
    <w:p w:rsidR="00DE5CD9" w:rsidRPr="00DE5CD9" w:rsidRDefault="00DE5CD9">
      <w:pPr>
        <w:rPr>
          <w:rFonts w:cstheme="minorHAnsi"/>
        </w:rPr>
      </w:pPr>
      <w:r w:rsidRPr="00DE5CD9">
        <w:rPr>
          <w:rFonts w:cstheme="minorHAnsi"/>
        </w:rPr>
        <w:t>Publié au </w:t>
      </w:r>
      <w:r w:rsidRPr="00DE5CD9">
        <w:rPr>
          <w:rFonts w:cstheme="minorHAnsi"/>
          <w:i/>
          <w:iCs/>
        </w:rPr>
        <w:t>Bulletin officiel</w:t>
      </w:r>
      <w:r w:rsidRPr="00DE5CD9">
        <w:rPr>
          <w:rFonts w:cstheme="minorHAnsi"/>
        </w:rPr>
        <w:t> du 28 août 2025, l’arrêté du 4 août 2025 marque un virage historique pour le </w:t>
      </w:r>
      <w:r w:rsidRPr="00DE5CD9">
        <w:rPr>
          <w:rFonts w:cstheme="minorHAnsi"/>
          <w:b/>
          <w:bCs/>
        </w:rPr>
        <w:t>Diplôme Supérieur de Comptabilité et de Gestion (DSCG)</w:t>
      </w:r>
      <w:r w:rsidRPr="00DE5CD9">
        <w:rPr>
          <w:rFonts w:cstheme="minorHAnsi"/>
        </w:rPr>
        <w:t>. Enregistré sous le code </w:t>
      </w:r>
      <w:r w:rsidRPr="00DE5CD9">
        <w:rPr>
          <w:rFonts w:cstheme="minorHAnsi"/>
          <w:b/>
          <w:bCs/>
        </w:rPr>
        <w:t>RNCP40998</w:t>
      </w:r>
      <w:r w:rsidRPr="00DE5CD9">
        <w:rPr>
          <w:rFonts w:cstheme="minorHAnsi"/>
        </w:rPr>
        <w:t> (applicable dès la session 2027), ce nouveau référentiel confirme le grade de </w:t>
      </w:r>
      <w:r w:rsidRPr="00DE5CD9">
        <w:rPr>
          <w:rFonts w:cstheme="minorHAnsi"/>
          <w:b/>
          <w:bCs/>
        </w:rPr>
        <w:t>master (niveau 7, 120 crédits ECTS)</w:t>
      </w:r>
      <w:r w:rsidRPr="00DE5CD9">
        <w:rPr>
          <w:rFonts w:cstheme="minorHAnsi"/>
        </w:rPr>
        <w:t> et redéfinit les contours de la profession. L’objectif ? Former des </w:t>
      </w:r>
      <w:r w:rsidRPr="00DE5CD9">
        <w:rPr>
          <w:rFonts w:cstheme="minorHAnsi"/>
          <w:b/>
          <w:bCs/>
        </w:rPr>
        <w:t>conseillers stratégiques</w:t>
      </w:r>
      <w:r w:rsidRPr="00DE5CD9">
        <w:rPr>
          <w:rFonts w:cstheme="minorHAnsi"/>
        </w:rPr>
        <w:t>, capables d’accompagner les dirigeants face aux défis de la </w:t>
      </w:r>
      <w:r w:rsidRPr="00DE5CD9">
        <w:rPr>
          <w:rFonts w:cstheme="minorHAnsi"/>
          <w:b/>
          <w:bCs/>
        </w:rPr>
        <w:t>transformation numérique</w:t>
      </w:r>
      <w:r w:rsidRPr="00DE5CD9">
        <w:rPr>
          <w:rFonts w:cstheme="minorHAnsi"/>
        </w:rPr>
        <w:t>, de la </w:t>
      </w:r>
      <w:r w:rsidRPr="00DE5CD9">
        <w:rPr>
          <w:rFonts w:cstheme="minorHAnsi"/>
          <w:b/>
          <w:bCs/>
        </w:rPr>
        <w:t>responsabilité sociétale (RSE)</w:t>
      </w:r>
      <w:r w:rsidRPr="00DE5CD9">
        <w:rPr>
          <w:rFonts w:cstheme="minorHAnsi"/>
        </w:rPr>
        <w:t> et des </w:t>
      </w:r>
      <w:r w:rsidRPr="00DE5CD9">
        <w:rPr>
          <w:rFonts w:cstheme="minorHAnsi"/>
          <w:b/>
          <w:bCs/>
        </w:rPr>
        <w:t>nouvelles exigences de gouvernance</w:t>
      </w:r>
      <w:r w:rsidRPr="00DE5CD9">
        <w:rPr>
          <w:rFonts w:cstheme="minorHAnsi"/>
        </w:rPr>
        <w:t xml:space="preserve">. </w:t>
      </w:r>
    </w:p>
    <w:p w:rsidR="00DE5CD9" w:rsidRPr="00DE5CD9" w:rsidRDefault="00DE5CD9">
      <w:pPr>
        <w:rPr>
          <w:rFonts w:cstheme="minorHAnsi"/>
        </w:rPr>
      </w:pPr>
    </w:p>
    <w:sectPr w:rsidR="00DE5CD9" w:rsidRPr="00DE5CD9" w:rsidSect="00DE5C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D9"/>
    <w:rsid w:val="004122A9"/>
    <w:rsid w:val="00901A2D"/>
    <w:rsid w:val="00C1020E"/>
    <w:rsid w:val="00D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FDD81-4FEA-4D33-99C8-E5DF44E9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Guylène</dc:creator>
  <cp:keywords/>
  <dc:description/>
  <cp:lastModifiedBy>TROJAN Guylène</cp:lastModifiedBy>
  <cp:revision>3</cp:revision>
  <dcterms:created xsi:type="dcterms:W3CDTF">2026-01-29T13:37:00Z</dcterms:created>
  <dcterms:modified xsi:type="dcterms:W3CDTF">2026-02-03T12:44:00Z</dcterms:modified>
</cp:coreProperties>
</file>